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345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097"/>
        <w:gridCol w:w="2837"/>
        <w:gridCol w:w="2820"/>
        <w:gridCol w:w="451"/>
        <w:gridCol w:w="1289"/>
        <w:gridCol w:w="1644"/>
        <w:gridCol w:w="3869"/>
      </w:tblGrid>
      <w:tr w:rsidR="00AD10A2" w:rsidTr="00CB73A4">
        <w:trPr>
          <w:trHeight w:hRule="exact" w:val="653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39" w:lineRule="exact"/>
              <w:ind w:left="4274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ANEXO 1 ‐ ANÁLISE DE FUNDOS DE INVESTIMENTO</w:t>
            </w:r>
          </w:p>
          <w:p w:rsidR="005A76FB" w:rsidRDefault="007A3209" w:rsidP="005A76FB">
            <w:pPr>
              <w:spacing w:after="0" w:line="290" w:lineRule="exact"/>
              <w:ind w:left="54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(A ser anexado ao Atestado de Credenciamento da Instituição Administradora e Gestora do Fundo de Investimento e atualizado quando da alocação)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Nome Fundo</w:t>
            </w: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BB PREVIDENCIÁRIO RF IMA ‐ B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07.861.554/0001‐22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Administrador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Gestor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305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Custodiante</w:t>
            </w:r>
          </w:p>
        </w:tc>
        <w:tc>
          <w:tcPr>
            <w:tcW w:w="9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101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83" w:lineRule="exact"/>
            </w:pP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83" w:lineRule="exact"/>
            </w:pP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Classificação do Fundo Resolução CMN 4.604/2017: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4" w:lineRule="exact"/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I,“c” 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X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IV,“c”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VII,“c”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III</w:t>
            </w:r>
          </w:p>
        </w:tc>
      </w:tr>
      <w:tr w:rsidR="00AD10A2" w:rsidTr="00CB73A4">
        <w:trPr>
          <w:trHeight w:hRule="exact" w:val="130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1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1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Identificação dos documentos analisados </w:t>
            </w:r>
          </w:p>
          <w:p w:rsidR="005A76FB" w:rsidRDefault="007A3209" w:rsidP="005A76FB">
            <w:pPr>
              <w:spacing w:after="0" w:line="290" w:lineRule="exact"/>
              <w:ind w:left="124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referentes ao Fundo: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10" w:lineRule="exact"/>
              <w:ind w:left="7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 do Documento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Página na internet em que o documento foi consultado ou 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disponibilizado pela instituição</w:t>
            </w: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1. Questionário Padrão Due Diligence para Fundo de 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Investimento – Seção 2 da ANBIMA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98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01/01/2019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9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2. Regulamento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23/05/2016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3. Lâmina de Informações essenciais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31/01/2019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4. Formulário de informações complementares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23/05/2016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5. Perfil Mensal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31/01/2019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</w:tbl>
    <w:p w:rsidR="005A76FB" w:rsidRDefault="007A3209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9" type="#_x0000_t75" style="position:absolute;margin-left:191pt;margin-top:541pt;width:503pt;height:47pt;z-index:-25166284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5" o:spid="_x0000_m1048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47" type="#polygon125" style="position:absolute;margin-left:191.7pt;margin-top:541.85pt;width:501pt;height:44.9pt;z-index:-25166489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A3209">
      <w:pPr>
        <w:sectPr w:rsidR="005A76FB">
          <w:pgSz w:w="16840" w:h="11905"/>
          <w:pgMar w:top="1190" w:right="891" w:bottom="950" w:left="1251" w:header="0" w:footer="0" w:gutter="0"/>
          <w:cols w:space="425"/>
        </w:sectPr>
      </w:pPr>
    </w:p>
    <w:tbl>
      <w:tblPr>
        <w:tblpPr w:leftFromText="180" w:rightFromText="180" w:tblpX="837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1419"/>
        <w:gridCol w:w="1562"/>
        <w:gridCol w:w="1709"/>
        <w:gridCol w:w="1289"/>
        <w:gridCol w:w="2788"/>
        <w:gridCol w:w="2725"/>
      </w:tblGrid>
      <w:tr w:rsidR="00AD10A2" w:rsidTr="00CB73A4">
        <w:trPr>
          <w:trHeight w:hRule="exact" w:val="53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76" w:lineRule="exact"/>
              <w:ind w:left="36" w:right="-239"/>
            </w:pPr>
            <w:bookmarkStart w:id="1" w:name="2"/>
            <w:bookmarkEnd w:id="1"/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lastRenderedPageBreak/>
              <w:t>6. Demonstração de Desempenho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76" w:lineRule="exact"/>
              <w:ind w:left="94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Referente a 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http://www37.bb.com.br/portalbb/fundosInvestimento/fundosinvestimento/gf07,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802,10340,10340,12,0.bbx?fundo=144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7. Relatórios de Rating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8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Disponibilizado pela Instituição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Não 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8. Demonstrações Contábeis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31/03/2018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11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144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II.5 Forma de Distribuição do Fundo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 art.3º, § 2º, II, da Portaria MPS nº 519/2011)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Nome/Razão Social do distribuidor: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Banco do Brasil S.A.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CPF/CNPJ: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00.000.000/0001.91</w:t>
            </w:r>
          </w:p>
        </w:tc>
      </w:tr>
      <w:tr w:rsidR="00AD10A2" w:rsidTr="00CB73A4">
        <w:trPr>
          <w:trHeight w:hRule="exact" w:val="886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8" w:right="-239"/>
            </w:pPr>
          </w:p>
          <w:p w:rsidR="005A76FB" w:rsidRDefault="007A3209" w:rsidP="005A76FB">
            <w:pPr>
              <w:spacing w:after="0" w:line="324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Informações sobre a Política de Distribuição: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incorporará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dividendos,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próprio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rendimentos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porventura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6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advindos de ativos e/ou operações que integrem a carteira do FUNDO.</w:t>
            </w:r>
          </w:p>
        </w:tc>
      </w:tr>
      <w:tr w:rsidR="00AD10A2" w:rsidTr="00CB73A4">
        <w:trPr>
          <w:trHeight w:hRule="exact" w:val="130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65" w:lineRule="exact"/>
            </w:pP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65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Resumo das informações do Fundo de Investimento</w:t>
            </w:r>
          </w:p>
        </w:tc>
      </w:tr>
      <w:tr w:rsidR="00AD10A2" w:rsidTr="00CB73A4">
        <w:trPr>
          <w:trHeight w:hRule="exact" w:val="566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0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Constituição: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91" w:lineRule="exact"/>
              <w:ind w:left="10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01/03/2006</w:t>
            </w:r>
          </w:p>
        </w:tc>
        <w:tc>
          <w:tcPr>
            <w:tcW w:w="29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03" w:lineRule="exact"/>
              <w:ind w:left="1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Início das Atividades:</w:t>
            </w:r>
          </w:p>
        </w:tc>
        <w:tc>
          <w:tcPr>
            <w:tcW w:w="5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91" w:lineRule="exact"/>
              <w:ind w:left="22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09/03/2006</w:t>
            </w:r>
          </w:p>
        </w:tc>
      </w:tr>
      <w:tr w:rsidR="00AD10A2" w:rsidTr="00CB73A4">
        <w:trPr>
          <w:trHeight w:hRule="exact" w:val="391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8" w:right="-239"/>
            </w:pPr>
          </w:p>
          <w:p w:rsidR="005A76FB" w:rsidRDefault="007A3209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Política de Investimentos do 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referencia/objetivo de rentabilidade</w:t>
            </w:r>
          </w:p>
        </w:tc>
      </w:tr>
      <w:tr w:rsidR="00AD10A2" w:rsidTr="00CB73A4">
        <w:trPr>
          <w:trHeight w:hRule="exact" w:val="1205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17" w:lineRule="exact"/>
            </w:pP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alcançar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seus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objetivos,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deverá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compor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uma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mínimo,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80%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(oitenta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cento)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líquido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2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representado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financeiros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forma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acompanhar,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direta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indiretamente,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variação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diária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taxa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doméstica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e/ou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 de preços.</w:t>
            </w:r>
          </w:p>
        </w:tc>
      </w:tr>
      <w:tr w:rsidR="00AD10A2" w:rsidTr="00CB73A4">
        <w:trPr>
          <w:trHeight w:hRule="exact" w:val="797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8" w:right="-239"/>
            </w:pPr>
          </w:p>
          <w:p w:rsidR="005A76FB" w:rsidRDefault="007A3209" w:rsidP="005A76FB">
            <w:pPr>
              <w:spacing w:after="0" w:line="278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Público‐alvo: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6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Regimes Próprios de Previdência Social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8" w:right="-239"/>
            </w:pPr>
          </w:p>
          <w:p w:rsidR="005A76FB" w:rsidRDefault="007A3209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(Prazos/Condições para 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resgate)</w:t>
            </w: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Duração do Fundo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7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Indeterminado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Carência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Conversão de Cotas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Pagamento dos Resgates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Prazo Total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</w:t>
            </w:r>
          </w:p>
        </w:tc>
      </w:tr>
    </w:tbl>
    <w:p w:rsidR="005A76FB" w:rsidRDefault="007A3209" w:rsidP="005A76FB">
      <w:pPr>
        <w:spacing w:after="0" w:line="20" w:lineRule="exact"/>
      </w:pPr>
      <w:r>
        <w:rPr>
          <w:noProof/>
        </w:rPr>
        <w:pict>
          <v:shape id="imagerId11" o:spid="_x0000_s1045" type="#_x0000_t75" style="position:absolute;margin-left:191pt;margin-top:541pt;width:503pt;height:47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95" o:spid="_x0000_m1044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43" type="#polygon95" style="position:absolute;margin-left:191.7pt;margin-top:541.85pt;width:501pt;height:44.9pt;z-index:-251661824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A3209">
      <w:pPr>
        <w:sectPr w:rsidR="005A76FB">
          <w:pgSz w:w="16840" w:h="11904"/>
          <w:pgMar w:top="1190" w:right="399" w:bottom="950" w:left="759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4238"/>
        <w:gridCol w:w="3384"/>
        <w:gridCol w:w="1145"/>
        <w:gridCol w:w="2724"/>
      </w:tblGrid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38" w:right="-239"/>
            </w:pPr>
            <w:bookmarkStart w:id="2" w:name="3"/>
            <w:bookmarkEnd w:id="2"/>
          </w:p>
          <w:p w:rsidR="005A76FB" w:rsidRDefault="007A3209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(Custos/Taxas)</w:t>
            </w: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entrada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saída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Administração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95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0,30% a.a.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90" w:lineRule="exact"/>
            </w:pP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480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Performance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1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12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Frequência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13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Linha‐d'água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68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Possui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1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14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</w:tr>
      <w:tr w:rsidR="00AD10A2" w:rsidTr="00CB73A4">
        <w:trPr>
          <w:trHeight w:hRule="exact" w:val="2148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8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quesitos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estabelecidos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Resolução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CMN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relativos,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dentre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outros,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privado que compõem sua carteira</w:t>
            </w:r>
          </w:p>
        </w:tc>
        <w:tc>
          <w:tcPr>
            <w:tcW w:w="114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considerado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bom,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forma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últimos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dois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anos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27,28%,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enquanto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mesmo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27,53%,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Benchmark.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foi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obtido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meio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somatório</w:t>
            </w:r>
          </w:p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8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 índices de liquidez apurados para cada ativo ou grupo de ativos financeiros.</w:t>
            </w:r>
          </w:p>
        </w:tc>
      </w:tr>
      <w:tr w:rsidR="00AD10A2" w:rsidTr="00CB73A4">
        <w:trPr>
          <w:trHeight w:hRule="exact" w:val="1219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1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Alterações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ocorridas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relativas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às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instituições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gestoras do fundo: 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6" w:right="-239"/>
            </w:pPr>
          </w:p>
          <w:p w:rsidR="005A76FB" w:rsidRDefault="007A3209" w:rsidP="005A76FB">
            <w:pPr>
              <w:spacing w:after="0" w:line="23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811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8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divulgados: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7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28/01/2011 ‐ Alteração nos Prazos de Cotização do Resgate e Crédito do Resgate</w:t>
            </w:r>
          </w:p>
        </w:tc>
      </w:tr>
      <w:tr w:rsidR="00AD10A2" w:rsidTr="00CB73A4">
        <w:trPr>
          <w:trHeight w:hRule="exact" w:val="1015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5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Política de Investimentos: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7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 fundo se encontra aderente ao perfil da carteira e a Política de Investimentos do RPPS.</w:t>
            </w:r>
          </w:p>
        </w:tc>
      </w:tr>
      <w:tr w:rsidR="00AD10A2" w:rsidTr="00CB73A4">
        <w:trPr>
          <w:trHeight w:hRule="exact" w:val="1044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5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Principais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riscos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associados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Taxa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Juros;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Títulos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Indexados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Inflação;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Descasamento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benchmark;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</w:p>
          <w:p w:rsidR="005A76FB" w:rsidRDefault="007A3209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Liquidez;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posfixados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(CDI,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TMS);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Proveniente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uso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Derivativos;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Crédito;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Conjuntura;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</w:p>
          <w:p w:rsidR="005A76FB" w:rsidRDefault="007A3209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Sistêmico e Risco Regulatório.</w:t>
            </w:r>
          </w:p>
        </w:tc>
      </w:tr>
    </w:tbl>
    <w:p w:rsidR="005A76FB" w:rsidRDefault="007A3209" w:rsidP="005A76FB">
      <w:pPr>
        <w:spacing w:after="0" w:line="20" w:lineRule="exact"/>
      </w:pPr>
      <w:r>
        <w:rPr>
          <w:noProof/>
        </w:rPr>
        <w:pict>
          <v:shape id="imagerId13" o:spid="_x0000_s1041" type="#_x0000_t75" style="position:absolute;margin-left:191pt;margin-top:541pt;width:503pt;height:47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1" o:spid="_x0000_m1040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9" type="#polygon71" style="position:absolute;margin-left:191.7pt;margin-top:541.85pt;width:501pt;height:44.9pt;z-index:-251658752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A3209">
      <w:pPr>
        <w:sectPr w:rsidR="005A76FB">
          <w:pgSz w:w="16840" w:h="11905"/>
          <w:pgMar w:top="1190" w:right="397" w:bottom="950" w:left="757" w:header="0" w:footer="0" w:gutter="0"/>
          <w:cols w:space="425"/>
        </w:sectPr>
      </w:pPr>
    </w:p>
    <w:tbl>
      <w:tblPr>
        <w:tblpPr w:leftFromText="180" w:rightFromText="180" w:tblpX="883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18"/>
        <w:gridCol w:w="1419"/>
        <w:gridCol w:w="1562"/>
        <w:gridCol w:w="1709"/>
        <w:gridCol w:w="2933"/>
        <w:gridCol w:w="1145"/>
        <w:gridCol w:w="2724"/>
      </w:tblGrid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17" w:lineRule="exact"/>
              <w:ind w:left="38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Histórico de Rentabilidade do Fundo:</w:t>
            </w:r>
          </w:p>
        </w:tc>
      </w:tr>
      <w:tr w:rsidR="00AD10A2" w:rsidTr="00CB73A4">
        <w:trPr>
          <w:trHeight w:hRule="exact" w:val="166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590" w:right="-239"/>
            </w:pPr>
          </w:p>
          <w:p w:rsidR="005A76FB" w:rsidRDefault="007A3209" w:rsidP="005A76FB">
            <w:pPr>
              <w:spacing w:after="0" w:line="235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60" w:right="-239"/>
            </w:pPr>
          </w:p>
          <w:p w:rsidR="005A76FB" w:rsidRDefault="007A3209" w:rsidP="005A76FB">
            <w:pPr>
              <w:spacing w:after="0" w:line="245" w:lineRule="exact"/>
              <w:ind w:left="6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Nº de Cotistas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403" w:right="-239"/>
            </w:pPr>
          </w:p>
          <w:p w:rsidR="005A76FB" w:rsidRDefault="007A3209" w:rsidP="005A76FB">
            <w:pPr>
              <w:spacing w:after="0" w:line="235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Patrimônio Líquido (R$)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96" w:right="-239"/>
            </w:pPr>
          </w:p>
          <w:p w:rsidR="005A76FB" w:rsidRDefault="007A3209" w:rsidP="005A76FB">
            <w:pPr>
              <w:spacing w:after="0" w:line="32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Valor da Cota do </w:t>
            </w:r>
          </w:p>
          <w:p w:rsidR="005A76FB" w:rsidRDefault="007A3209" w:rsidP="005A76FB">
            <w:pPr>
              <w:spacing w:after="0" w:line="290" w:lineRule="exact"/>
              <w:ind w:left="3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 (R$)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655" w:right="-239"/>
            </w:pPr>
          </w:p>
          <w:p w:rsidR="005A76FB" w:rsidRDefault="007A3209" w:rsidP="005A76FB">
            <w:pPr>
              <w:spacing w:after="0" w:line="235" w:lineRule="exact"/>
              <w:ind w:left="6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Rentabilidade (%)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70" w:right="-239"/>
            </w:pPr>
          </w:p>
          <w:p w:rsidR="005A76FB" w:rsidRDefault="007A3209" w:rsidP="005A76FB">
            <w:pPr>
              <w:spacing w:after="0" w:line="288" w:lineRule="exact"/>
              <w:ind w:left="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Variação % </w:t>
            </w:r>
          </w:p>
          <w:p w:rsidR="005A76FB" w:rsidRDefault="007A3209" w:rsidP="005A76FB">
            <w:pPr>
              <w:spacing w:after="0" w:line="290" w:lineRule="exact"/>
              <w:ind w:left="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 índice </w:t>
            </w:r>
          </w:p>
          <w:p w:rsidR="005A76FB" w:rsidRDefault="007A3209" w:rsidP="005A76FB">
            <w:pPr>
              <w:spacing w:after="0" w:line="290" w:lineRule="exact"/>
              <w:ind w:left="46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 </w:t>
            </w:r>
          </w:p>
          <w:p w:rsidR="005A76FB" w:rsidRDefault="007A3209" w:rsidP="005A76FB">
            <w:pPr>
              <w:spacing w:after="0" w:line="290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referência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108" w:right="-239"/>
            </w:pPr>
          </w:p>
          <w:p w:rsidR="005A76FB" w:rsidRDefault="007A3209" w:rsidP="005A76FB">
            <w:pPr>
              <w:spacing w:after="0" w:line="278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Contribuição em relação ao </w:t>
            </w:r>
          </w:p>
          <w:p w:rsidR="005A76FB" w:rsidRDefault="007A3209" w:rsidP="005A76FB">
            <w:pPr>
              <w:spacing w:after="0" w:line="290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índice de referência ou </w:t>
            </w:r>
          </w:p>
          <w:p w:rsidR="005A76FB" w:rsidRDefault="007A3209" w:rsidP="005A76FB">
            <w:pPr>
              <w:spacing w:after="0" w:line="290" w:lineRule="exact"/>
              <w:ind w:left="5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desempenho do fundo como </w:t>
            </w:r>
          </w:p>
          <w:p w:rsidR="005A76FB" w:rsidRDefault="007A3209" w:rsidP="005A76FB">
            <w:pPr>
              <w:spacing w:after="0" w:line="290" w:lineRule="exact"/>
              <w:ind w:left="21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% do índice de referência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189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941.547.891,34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4,469361928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12,83%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13,06%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98,23%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235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1.070.534.298,25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3,961246657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12,80%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12,79%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100,04%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244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1.109.454.048,62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3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3,51175135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24,46%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24,81%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98,59%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240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901.755.196,20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2,821596809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12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862,00%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33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8,88%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97,10%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250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1.157.342.854,64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2,597578893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14,45%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14,54%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99,38%</w:t>
            </w:r>
          </w:p>
        </w:tc>
      </w:tr>
      <w:tr w:rsidR="00AD10A2" w:rsidTr="00CB73A4">
        <w:trPr>
          <w:trHeight w:hRule="exact" w:val="115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Análise da Carteira do Fundo de Investimento</w:t>
            </w: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799" w:right="-239"/>
            </w:pPr>
          </w:p>
          <w:p w:rsidR="005A76FB" w:rsidRDefault="007A3209" w:rsidP="005A76FB">
            <w:pPr>
              <w:spacing w:after="0" w:line="372" w:lineRule="exact"/>
              <w:ind w:left="7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Composição da carteira (atual)</w:t>
            </w:r>
          </w:p>
        </w:tc>
        <w:tc>
          <w:tcPr>
            <w:tcW w:w="734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29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Espécie de ativos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83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304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Títulos Públicos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0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83,06%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320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Debêntures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11,57%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9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Depósitos a prazo e outros títulos de IF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12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4,28%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53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Operações Compromissadas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1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1,03%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96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Outras aplicações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1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0,07%</w:t>
            </w:r>
          </w:p>
        </w:tc>
      </w:tr>
      <w:tr w:rsidR="00AD10A2" w:rsidTr="00CB73A4">
        <w:trPr>
          <w:trHeight w:hRule="exact" w:val="86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720" w:lineRule="exact"/>
              <w:ind w:left="317" w:right="-239"/>
            </w:pPr>
          </w:p>
          <w:p w:rsidR="005A76FB" w:rsidRDefault="007A3209" w:rsidP="005A76FB">
            <w:pPr>
              <w:spacing w:after="0" w:line="228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Caso o Fundo aplique em cotas de outros </w:t>
            </w:r>
          </w:p>
          <w:p w:rsidR="005A76FB" w:rsidRDefault="007A3209" w:rsidP="005A76FB">
            <w:pPr>
              <w:spacing w:after="0" w:line="290" w:lineRule="exact"/>
              <w:ind w:left="109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Fundos de Investimento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103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CNPJ Fundo(s) 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83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</w:tbl>
    <w:p w:rsidR="005A76FB" w:rsidRDefault="007A3209" w:rsidP="005A76FB">
      <w:pPr>
        <w:spacing w:after="0" w:line="20" w:lineRule="exact"/>
      </w:pPr>
      <w:r>
        <w:rPr>
          <w:noProof/>
        </w:rPr>
        <w:pict>
          <v:shape id="imagerId15" o:spid="_x0000_s1037" type="#_x0000_t75" style="position:absolute;margin-left:191pt;margin-top:541pt;width:503pt;height:47pt;z-index:-251653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12" o:spid="_x0000_m1036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35" type="#polygon112" style="position:absolute;margin-left:191.7pt;margin-top:541.85pt;width:501pt;height:44.9pt;z-index:-251655680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A3209">
      <w:pPr>
        <w:sectPr w:rsidR="005A76FB">
          <w:pgSz w:w="16840" w:h="11904"/>
          <w:pgMar w:top="1190" w:right="353" w:bottom="950" w:left="713" w:header="0" w:footer="0" w:gutter="0"/>
          <w:cols w:space="425"/>
        </w:sectPr>
      </w:pPr>
    </w:p>
    <w:tbl>
      <w:tblPr>
        <w:tblpPr w:leftFromText="180" w:rightFromText="180" w:tblpX="840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1562"/>
        <w:gridCol w:w="1709"/>
        <w:gridCol w:w="4078"/>
        <w:gridCol w:w="2724"/>
      </w:tblGrid>
      <w:tr w:rsidR="00AD10A2" w:rsidTr="00CB73A4">
        <w:trPr>
          <w:trHeight w:hRule="exact" w:val="290"/>
        </w:trPr>
        <w:tc>
          <w:tcPr>
            <w:tcW w:w="43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86" w:right="-239"/>
            </w:pPr>
            <w:bookmarkStart w:id="4" w:name="5"/>
            <w:bookmarkEnd w:id="4"/>
          </w:p>
          <w:p w:rsidR="005A76FB" w:rsidRDefault="007A3209" w:rsidP="005A76FB">
            <w:pPr>
              <w:spacing w:after="0" w:line="367" w:lineRule="exact"/>
              <w:ind w:left="3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Maiores emissores de títulos de crédito </w:t>
            </w:r>
          </w:p>
          <w:p w:rsidR="005A76FB" w:rsidRDefault="007A3209" w:rsidP="005A76FB">
            <w:pPr>
              <w:spacing w:after="0" w:line="290" w:lineRule="exact"/>
              <w:ind w:left="8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privado em estoque do Fundo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8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Emissor (CPF/CNPJ)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104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5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Investimentos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estabelecida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classificação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Resolução CMN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4109" w:right="-239"/>
            </w:pPr>
          </w:p>
          <w:p w:rsidR="005A76FB" w:rsidRDefault="007A3209" w:rsidP="005A76FB">
            <w:pPr>
              <w:spacing w:after="0" w:line="391" w:lineRule="exact"/>
              <w:ind w:left="410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SIM</w:t>
            </w:r>
          </w:p>
        </w:tc>
      </w:tr>
      <w:tr w:rsidR="00AD10A2" w:rsidTr="00CB73A4">
        <w:trPr>
          <w:trHeight w:hRule="exact" w:val="653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4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médio da carteira de títulos do Fundo (em meses (30) dias)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34" w:lineRule="exact"/>
              <w:ind w:left="398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126,35</w:t>
            </w:r>
          </w:p>
        </w:tc>
      </w:tr>
      <w:tr w:rsidR="00AD10A2" w:rsidTr="00CB73A4">
        <w:trPr>
          <w:trHeight w:hRule="exact" w:val="11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8" w:right="-239"/>
            </w:pPr>
          </w:p>
          <w:p w:rsidR="005A76FB" w:rsidRDefault="007A3209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futuras</w:t>
            </w:r>
          </w:p>
          <w:p w:rsidR="005A76FB" w:rsidRDefault="007A3209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 RPPS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9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 do RPPS. 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8" w:right="-239"/>
            </w:pPr>
          </w:p>
          <w:p w:rsidR="005A76FB" w:rsidRDefault="007A3209" w:rsidP="005A76FB">
            <w:pPr>
              <w:spacing w:after="0" w:line="242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 de Risco de Crédito</w:t>
            </w:r>
          </w:p>
        </w:tc>
        <w:tc>
          <w:tcPr>
            <w:tcW w:w="57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2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Agência de risco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302" w:lineRule="exact"/>
              <w:ind w:left="114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302" w:lineRule="exact"/>
            </w:pPr>
          </w:p>
        </w:tc>
        <w:tc>
          <w:tcPr>
            <w:tcW w:w="5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24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90" w:lineRule="exact"/>
              <w:ind w:left="89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</w:tr>
      <w:tr w:rsidR="00AD10A2" w:rsidTr="00CB73A4">
        <w:trPr>
          <w:trHeight w:hRule="exact" w:val="123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8" w:right="-239"/>
            </w:pPr>
          </w:p>
          <w:p w:rsidR="005A76FB" w:rsidRDefault="007A3209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Análise conclusiva e comparativa com outros fundos: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analisado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características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acordo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Investimentos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comparado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demais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distribuídos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 mesmo índice de Benchmark.</w:t>
            </w:r>
          </w:p>
        </w:tc>
      </w:tr>
      <w:tr w:rsidR="00AD10A2" w:rsidTr="00CB73A4">
        <w:trPr>
          <w:trHeight w:hRule="exact" w:val="1567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480" w:lineRule="exact"/>
              <w:ind w:left="38" w:right="-239"/>
            </w:pPr>
          </w:p>
          <w:p w:rsidR="005A76FB" w:rsidRDefault="007A3209" w:rsidP="005A76FB">
            <w:pPr>
              <w:spacing w:after="0" w:line="425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Comentários Adicionais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40" w:lineRule="exact"/>
              <w:ind w:left="36" w:right="-239"/>
            </w:pPr>
          </w:p>
          <w:p w:rsidR="005A76FB" w:rsidRDefault="007A3209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Declaro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tenho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aspectos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caracterizam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Investimento,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conteúdo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possam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contribuir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7A3209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desempenho, além de sua compatibilidade ao perfil da carteira e à Política de Investimentos do RPPS.</w:t>
            </w:r>
          </w:p>
        </w:tc>
      </w:tr>
    </w:tbl>
    <w:p w:rsidR="005A76FB" w:rsidRDefault="007A3209" w:rsidP="005A76FB">
      <w:pPr>
        <w:spacing w:after="0" w:line="20" w:lineRule="exact"/>
      </w:pPr>
      <w:r>
        <w:rPr>
          <w:noProof/>
        </w:rPr>
        <w:pict>
          <v:shape id="imagerId17" o:spid="_x0000_s1033" type="#_x0000_t75" style="position:absolute;margin-left:191pt;margin-top:541pt;width:503pt;height:47pt;z-index:-251650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_x0000_m1032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032" style="position:absolute;margin-left:191.7pt;margin-top:541.85pt;width:501pt;height:44.9pt;z-index:-251652608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A3209">
      <w:pPr>
        <w:sectPr w:rsidR="005A76FB">
          <w:pgSz w:w="16840" w:h="11905"/>
          <w:pgMar w:top="1190" w:right="396" w:bottom="950" w:left="756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2820"/>
        <w:gridCol w:w="1740"/>
        <w:gridCol w:w="2789"/>
        <w:gridCol w:w="2724"/>
      </w:tblGrid>
      <w:tr w:rsidR="00AD10A2" w:rsidTr="00CB73A4">
        <w:trPr>
          <w:trHeight w:hRule="exact" w:val="653"/>
        </w:trPr>
        <w:tc>
          <w:tcPr>
            <w:tcW w:w="1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6" w:lineRule="exact"/>
              <w:ind w:left="38" w:right="-239"/>
            </w:pPr>
            <w:bookmarkStart w:id="5" w:name="6"/>
            <w:bookmarkEnd w:id="5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Declaro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tenho</w:t>
            </w:r>
            <w:r>
              <w:rPr>
                <w:rFonts w:ascii="Calibri" w:hAnsi="Calibri" w:cs="Calibri"/>
                <w:b/>
                <w:noProof/>
                <w:color w:val="000000"/>
                <w:w w:val="15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conhecimento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aspectos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caracterizam</w:t>
            </w:r>
            <w:r>
              <w:rPr>
                <w:rFonts w:ascii="Calibri" w:hAnsi="Calibri" w:cs="Calibri"/>
                <w:b/>
                <w:noProof/>
                <w:color w:val="000000"/>
                <w:w w:val="1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este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w w:val="16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Investimento,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em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relação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conteúdo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seu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Regulamento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fatos</w:t>
            </w:r>
          </w:p>
          <w:p w:rsidR="005A76FB" w:rsidRDefault="007A3209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relevantes que possam contribuir para seu desempenho, além de sua compatibilidade ao perfil da carteira e à Política de Investimentos do RPPS.</w:t>
            </w:r>
          </w:p>
        </w:tc>
      </w:tr>
      <w:tr w:rsidR="00AD10A2" w:rsidTr="00CB73A4">
        <w:trPr>
          <w:trHeight w:hRule="exact" w:val="319"/>
        </w:trPr>
        <w:tc>
          <w:tcPr>
            <w:tcW w:w="7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1" w:lineRule="exact"/>
              <w:ind w:left="66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Data:</w:t>
            </w:r>
          </w:p>
        </w:tc>
        <w:tc>
          <w:tcPr>
            <w:tcW w:w="7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81" w:lineRule="exact"/>
              <w:ind w:left="308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11/02/2019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9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Responsáveis pela Análise: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20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Cargo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123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CPF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8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Assinatura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643" w:right="-239"/>
            </w:pPr>
            <w:bookmarkStart w:id="6" w:name="_GoBack"/>
            <w:bookmarkEnd w:id="6"/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1798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818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1164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9" w:lineRule="exact"/>
              <w:ind w:left="770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9" w:lineRule="exact"/>
              <w:ind w:left="576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after="0" w:line="269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3209" w:rsidP="005A76FB">
            <w:pPr>
              <w:spacing w:line="269" w:lineRule="exact"/>
            </w:pPr>
          </w:p>
        </w:tc>
      </w:tr>
    </w:tbl>
    <w:p w:rsidR="005A76FB" w:rsidRDefault="007A3209" w:rsidP="005A76FB">
      <w:pPr>
        <w:spacing w:after="0" w:line="240" w:lineRule="exact"/>
      </w:pPr>
    </w:p>
    <w:p w:rsidR="005A76FB" w:rsidRDefault="007A3209" w:rsidP="005A76FB">
      <w:pPr>
        <w:spacing w:after="0" w:line="240" w:lineRule="exact"/>
      </w:pPr>
    </w:p>
    <w:p w:rsidR="005A76FB" w:rsidRDefault="007A3209" w:rsidP="005A76FB">
      <w:pPr>
        <w:spacing w:after="0" w:line="240" w:lineRule="exact"/>
      </w:pPr>
    </w:p>
    <w:p w:rsidR="005A76FB" w:rsidRDefault="007A3209" w:rsidP="005A76FB">
      <w:pPr>
        <w:spacing w:after="0" w:line="325" w:lineRule="exact"/>
        <w:ind w:left="5799"/>
      </w:pPr>
    </w:p>
    <w:p w:rsidR="005A76FB" w:rsidRDefault="007A3209" w:rsidP="005A76FB">
      <w:pPr>
        <w:spacing w:after="0" w:line="290" w:lineRule="exact"/>
        <w:ind w:left="57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o:spid="_x0000_s1030" type="#_x0000_t202" style="position:absolute;left:0;text-align:left;margin-left:327.85pt;margin-top:218.15pt;width:191.4pt;height:16.05pt;z-index:-251646464;mso-position-horizontal-relative:page;mso-position-vertical-relative:page" filled="f" stroked="f">
            <v:textbox inset="0,0,0,0">
              <w:txbxContent>
                <w:p w:rsidR="005A76FB" w:rsidRDefault="007A3209">
                  <w:pPr>
                    <w:autoSpaceDE w:val="0"/>
                    <w:autoSpaceDN w:val="0"/>
                    <w:adjustRightInd w:val="0"/>
                    <w:spacing w:after="0" w:line="221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FFFFFF"/>
                      <w:spacing w:val="-3"/>
                      <w:w w:val="95"/>
                      <w:sz w:val="22"/>
                    </w:rPr>
                    <w:t>Membro do Comitê de Investimentos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9" o:spid="_x0000_s1028" type="#_x0000_t75" style="position:absolute;left:0;text-align:left;margin-left:191pt;margin-top:541pt;width:503pt;height:47pt;z-index:-2516474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8" o:spid="_x0000_m1027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26" type="#polygon38" style="position:absolute;left:0;text-align:left;margin-left:191.7pt;margin-top:541.85pt;width:501pt;height:44.9pt;z-index:-25164953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7A3209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sectPr w:rsidR="005A76FB" w:rsidSect="000D1471">
      <w:type w:val="continuous"/>
      <w:pgSz w:w="16840" w:h="11904"/>
      <w:pgMar w:top="1190" w:right="398" w:bottom="950" w:left="75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09" w:rsidRDefault="007A3209">
      <w:pPr>
        <w:spacing w:after="0" w:line="240" w:lineRule="auto"/>
      </w:pPr>
      <w:r>
        <w:separator/>
      </w:r>
    </w:p>
  </w:endnote>
  <w:endnote w:type="continuationSeparator" w:id="0">
    <w:p w:rsidR="007A3209" w:rsidRDefault="007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09" w:rsidRDefault="007A3209">
      <w:pPr>
        <w:spacing w:after="0" w:line="240" w:lineRule="auto"/>
      </w:pPr>
      <w:r>
        <w:separator/>
      </w:r>
    </w:p>
  </w:footnote>
  <w:footnote w:type="continuationSeparator" w:id="0">
    <w:p w:rsidR="007A3209" w:rsidRDefault="007A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7A3209"/>
    <w:rsid w:val="007F1C1F"/>
    <w:rsid w:val="00C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00F61-A43A-4187-A781-A2E15D7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HILDEBRANDO MENDES LIMA JUNIOR</cp:lastModifiedBy>
  <cp:revision>3</cp:revision>
  <dcterms:created xsi:type="dcterms:W3CDTF">2019-10-21T18:37:00Z</dcterms:created>
  <dcterms:modified xsi:type="dcterms:W3CDTF">2019-10-21T18:40:00Z</dcterms:modified>
</cp:coreProperties>
</file>